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902"/>
        <w:gridCol w:w="4074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197079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230A29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043730">
              <w:rPr>
                <w:rFonts w:asciiTheme="majorHAnsi" w:eastAsiaTheme="majorEastAsia" w:hAnsiTheme="majorHAnsi" w:cstheme="majorBidi"/>
                <w:sz w:val="36"/>
                <w:szCs w:val="36"/>
              </w:rPr>
              <w:t>Nisan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043730" w:rsidP="0004373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31Mayıs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230A29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043730" w:rsidP="008B246F">
      <w:pPr>
        <w:jc w:val="both"/>
        <w:rPr>
          <w:b/>
        </w:rPr>
      </w:pPr>
      <w:r>
        <w:rPr>
          <w:b/>
        </w:rPr>
        <w:t>Nisan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Dış ticaret istatistiklerine ilişkin veriler Türkiye İstati</w:t>
      </w:r>
      <w:r w:rsidR="007214CC">
        <w:rPr>
          <w:b/>
        </w:rPr>
        <w:t>stik K</w:t>
      </w:r>
      <w:r>
        <w:rPr>
          <w:b/>
        </w:rPr>
        <w:t>urumu (TÜİK) tarafından 31 Mayıs</w:t>
      </w:r>
      <w:r w:rsidR="00D07D01" w:rsidRPr="009C3D5A">
        <w:rPr>
          <w:b/>
        </w:rPr>
        <w:t xml:space="preserve"> 201</w:t>
      </w:r>
      <w:r w:rsidR="00230A29">
        <w:rPr>
          <w:b/>
        </w:rPr>
        <w:t>9</w:t>
      </w:r>
      <w:r w:rsidR="00D07D01" w:rsidRPr="009C3D5A">
        <w:rPr>
          <w:b/>
        </w:rPr>
        <w:t xml:space="preserve">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043730" w:rsidP="008B246F">
      <w:pPr>
        <w:jc w:val="both"/>
      </w:pPr>
      <w:r>
        <w:t>Nisan</w:t>
      </w:r>
      <w:r w:rsidR="00764636" w:rsidRPr="009C3D5A">
        <w:t xml:space="preserve"> ayında Türkiye’nin </w:t>
      </w:r>
      <w:r w:rsidR="00672626" w:rsidRPr="009C3D5A">
        <w:t>ihracatı</w:t>
      </w:r>
      <w:r w:rsidR="007C538F">
        <w:t>,</w:t>
      </w:r>
      <w:r w:rsidR="00764636" w:rsidRPr="009C3D5A">
        <w:t>bir önceki yılın aynı ayına göre yü</w:t>
      </w:r>
      <w:r w:rsidR="00DB20D7">
        <w:t xml:space="preserve">zde </w:t>
      </w:r>
      <w:r>
        <w:t>4,6artarak 14</w:t>
      </w:r>
      <w:r w:rsidR="00764636" w:rsidRPr="009C3D5A">
        <w:t xml:space="preserve"> milyar</w:t>
      </w:r>
      <w:r>
        <w:t>480</w:t>
      </w:r>
      <w:r w:rsidR="00676E49">
        <w:t xml:space="preserve"> milyon</w:t>
      </w:r>
      <w:r w:rsidR="00207511">
        <w:t xml:space="preserve"> dolar oldu</w:t>
      </w:r>
      <w:r w:rsidR="00764636" w:rsidRPr="009C3D5A">
        <w:t xml:space="preserve">. </w:t>
      </w:r>
      <w:r>
        <w:t>Nisan</w:t>
      </w:r>
      <w:r w:rsidR="002157EE" w:rsidRPr="009C3D5A">
        <w:t xml:space="preserve"> ayı </w:t>
      </w:r>
      <w:r w:rsidR="000E09A3">
        <w:t>ithalatı</w:t>
      </w:r>
      <w:r w:rsidR="00BC0061">
        <w:t>,</w:t>
      </w:r>
      <w:r w:rsidR="00DB20D7">
        <w:t xml:space="preserve"> bir önceki </w:t>
      </w:r>
      <w:r w:rsidR="000E09A3">
        <w:t>yılın aynı ayına</w:t>
      </w:r>
      <w:r w:rsidR="00DB20D7">
        <w:t xml:space="preserve"> göre</w:t>
      </w:r>
      <w:r w:rsidR="002157EE" w:rsidRPr="009C3D5A">
        <w:t xml:space="preserve"> yüzde </w:t>
      </w:r>
      <w:r>
        <w:t>15,1</w:t>
      </w:r>
      <w:r w:rsidR="00F41830">
        <w:t xml:space="preserve"> azala</w:t>
      </w:r>
      <w:r w:rsidR="005C02CC">
        <w:t xml:space="preserve">rak </w:t>
      </w:r>
      <w:r w:rsidR="008974F5">
        <w:t>1</w:t>
      </w:r>
      <w:r w:rsidR="007214CC">
        <w:t>7</w:t>
      </w:r>
      <w:r w:rsidR="00DB20D7">
        <w:t xml:space="preserve"> milyar</w:t>
      </w:r>
      <w:r>
        <w:t>462</w:t>
      </w:r>
      <w:r w:rsidR="00676E49">
        <w:t xml:space="preserve"> milyon</w:t>
      </w:r>
      <w:r w:rsidR="00DB20D7">
        <w:t xml:space="preserve"> dolar </w:t>
      </w:r>
      <w:r w:rsidR="00207511">
        <w:t>olarak gerçekleşti</w:t>
      </w:r>
      <w:r w:rsidR="002157EE" w:rsidRPr="009C3D5A">
        <w:t>.</w:t>
      </w:r>
      <w:r w:rsidR="00540D42">
        <w:t xml:space="preserve">Buna göre </w:t>
      </w:r>
      <w:r>
        <w:t>Nisan</w:t>
      </w:r>
      <w:r w:rsidR="00DB20D7">
        <w:t xml:space="preserve"> ayı dış ticaret açığı,</w:t>
      </w:r>
      <w:r w:rsidR="008B246F" w:rsidRPr="009C3D5A">
        <w:t xml:space="preserve"> yüzde </w:t>
      </w:r>
      <w:r>
        <w:t>55,6</w:t>
      </w:r>
      <w:r w:rsidR="00F41830">
        <w:t>azalarak2</w:t>
      </w:r>
      <w:r w:rsidR="00024E59" w:rsidRPr="009C3D5A">
        <w:t xml:space="preserve"> milyar </w:t>
      </w:r>
      <w:r>
        <w:t>982</w:t>
      </w:r>
      <w:r w:rsidR="00DB20D7">
        <w:t xml:space="preserve"> milyon dolar</w:t>
      </w:r>
      <w:r w:rsidR="00676E49">
        <w:t xml:space="preserve">a </w:t>
      </w:r>
      <w:r w:rsidR="00F41830">
        <w:t>geriledi</w:t>
      </w:r>
      <w:r w:rsidR="00676E49">
        <w:t xml:space="preserve">. </w:t>
      </w:r>
      <w:r w:rsidR="00F41830">
        <w:t>2018</w:t>
      </w:r>
      <w:r>
        <w:t>Nisan</w:t>
      </w:r>
      <w:r w:rsidR="00540D42">
        <w:t xml:space="preserve"> ayında yüzde </w:t>
      </w:r>
      <w:r>
        <w:t>67,4</w:t>
      </w:r>
      <w:r w:rsidR="0023568E">
        <w:t>olan ihracatın itha</w:t>
      </w:r>
      <w:r w:rsidR="00CA6A1E">
        <w:t xml:space="preserve">latı karşılama oranı ise </w:t>
      </w:r>
      <w:r w:rsidR="00F41830">
        <w:t>2019</w:t>
      </w:r>
      <w:r>
        <w:t>Nisan</w:t>
      </w:r>
      <w:r w:rsidR="00047A3E">
        <w:t xml:space="preserve"> ayında yüzde </w:t>
      </w:r>
      <w:r>
        <w:t>82</w:t>
      </w:r>
      <w:r w:rsidR="007214CC">
        <w:t>,9</w:t>
      </w:r>
      <w:r w:rsidR="00540D42">
        <w:t>’</w:t>
      </w:r>
      <w:r w:rsidR="007214CC">
        <w:t>a</w:t>
      </w:r>
      <w:r w:rsidR="00F41830">
        <w:t>yükseldi</w:t>
      </w:r>
      <w:r w:rsidR="0023568E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B861B5">
        <w:rPr>
          <w:rFonts w:eastAsia="Times New Roman" w:cs="Times New Roman"/>
          <w:b/>
          <w:bCs/>
          <w:kern w:val="36"/>
          <w:sz w:val="24"/>
          <w:szCs w:val="24"/>
        </w:rPr>
        <w:t>ihracat, milyar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197079">
        <w:rPr>
          <w:rFonts w:eastAsia="Times New Roman" w:cs="Times New Roman"/>
          <w:b/>
          <w:bCs/>
          <w:kern w:val="36"/>
          <w:sz w:val="24"/>
          <w:szCs w:val="24"/>
        </w:rPr>
        <w:t xml:space="preserve"> (201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>8-2019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 xml:space="preserve"> Ocak-Aralık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13761E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895975" cy="1590675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8D17ED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867C7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2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: Aylara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ithalat, milyar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F41830">
        <w:rPr>
          <w:rFonts w:eastAsia="Times New Roman" w:cs="Times New Roman"/>
          <w:b/>
          <w:bCs/>
          <w:kern w:val="36"/>
          <w:sz w:val="24"/>
          <w:szCs w:val="24"/>
        </w:rPr>
        <w:t xml:space="preserve"> (2018-2019</w:t>
      </w:r>
      <w:r w:rsidR="000174DC">
        <w:rPr>
          <w:rFonts w:eastAsia="Times New Roman" w:cs="Times New Roman"/>
          <w:b/>
          <w:bCs/>
          <w:kern w:val="36"/>
          <w:sz w:val="24"/>
          <w:szCs w:val="24"/>
        </w:rPr>
        <w:t xml:space="preserve"> Ocak-</w:t>
      </w:r>
      <w:r w:rsidR="00981AD3">
        <w:rPr>
          <w:rFonts w:eastAsia="Times New Roman" w:cs="Times New Roman"/>
          <w:b/>
          <w:bCs/>
          <w:kern w:val="36"/>
          <w:sz w:val="24"/>
          <w:szCs w:val="24"/>
        </w:rPr>
        <w:t>Aralık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A01B59" w:rsidRDefault="00F26D62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inline distT="0" distB="0" distL="0" distR="0">
            <wp:extent cx="5895975" cy="1590675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B359A" w:rsidRDefault="00DB359A" w:rsidP="00DB359A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913A90" w:rsidRDefault="00913A90" w:rsidP="00CE7503">
      <w:pPr>
        <w:spacing w:after="0" w:line="240" w:lineRule="auto"/>
      </w:pPr>
    </w:p>
    <w:p w:rsidR="00913A90" w:rsidRDefault="00E86C2E" w:rsidP="00CE7503">
      <w:pPr>
        <w:spacing w:after="0" w:line="240" w:lineRule="auto"/>
      </w:pPr>
      <w:r w:rsidRPr="00E86C2E">
        <w:t>İhracat rakamları</w:t>
      </w:r>
      <w:r w:rsidR="00CA6A1E">
        <w:t xml:space="preserve"> 201</w:t>
      </w:r>
      <w:r w:rsidR="0001649F">
        <w:t>9</w:t>
      </w:r>
      <w:r w:rsidR="00F26D62">
        <w:t>’un dördüncü</w:t>
      </w:r>
      <w:r w:rsidR="00CA6A1E">
        <w:t xml:space="preserve"> ayında b</w:t>
      </w:r>
      <w:r>
        <w:t xml:space="preserve">ir önceki aya göre </w:t>
      </w:r>
      <w:r w:rsidR="00E0516C">
        <w:t>yüzde</w:t>
      </w:r>
      <w:r w:rsidR="00F26D62">
        <w:t>0</w:t>
      </w:r>
      <w:r w:rsidR="004C68B6">
        <w:t>,1</w:t>
      </w:r>
      <w:r w:rsidR="000C0786">
        <w:t>a</w:t>
      </w:r>
      <w:r w:rsidR="00F26D62">
        <w:t>zalış</w:t>
      </w:r>
      <w:r>
        <w:t>; bir önceki yı</w:t>
      </w:r>
      <w:r w:rsidR="00E0516C">
        <w:t>lın aynı ayına göre ise yüzde</w:t>
      </w:r>
      <w:r w:rsidR="00F26D62">
        <w:t>4,6</w:t>
      </w:r>
      <w:r w:rsidR="004C68B6">
        <w:t>a</w:t>
      </w:r>
      <w:r w:rsidR="00F26D62">
        <w:t>rtış</w:t>
      </w:r>
      <w:r>
        <w:t xml:space="preserve"> göster</w:t>
      </w:r>
      <w:r w:rsidR="00F26D62">
        <w:t>irken, 14</w:t>
      </w:r>
      <w:r w:rsidR="00E07B1A">
        <w:t>,</w:t>
      </w:r>
      <w:r w:rsidR="004C68B6">
        <w:t>5</w:t>
      </w:r>
      <w:r w:rsidR="00E0516C">
        <w:t xml:space="preserve"> milyar dolar</w:t>
      </w:r>
      <w:r w:rsidR="00207511">
        <w:t xml:space="preserve"> olarak gerçekleş</w:t>
      </w:r>
      <w:r w:rsidR="00E0516C">
        <w:t>ti.</w:t>
      </w:r>
      <w:r w:rsidR="00F26D62">
        <w:t>İ</w:t>
      </w:r>
      <w:r>
        <w:t xml:space="preserve">thalat rakamları </w:t>
      </w:r>
      <w:r w:rsidR="00F26D62">
        <w:t>Mart</w:t>
      </w:r>
      <w:r w:rsidR="004C68B6">
        <w:t>2019’da</w:t>
      </w:r>
      <w:r w:rsidR="00F26D62">
        <w:t>17,6</w:t>
      </w:r>
      <w:r w:rsidR="00DB359A" w:rsidRPr="009C3D5A">
        <w:t xml:space="preserve"> milyar dolar olan </w:t>
      </w:r>
      <w:r w:rsidR="00CA6A1E">
        <w:t>iken</w:t>
      </w:r>
      <w:r w:rsidR="00DB359A">
        <w:t>,</w:t>
      </w:r>
      <w:r w:rsidR="00F26D62">
        <w:t xml:space="preserve"> Nisan</w:t>
      </w:r>
      <w:r w:rsidR="00CA6A1E">
        <w:t>ayında</w:t>
      </w:r>
      <w:r w:rsidR="00F26D62">
        <w:t>17,5</w:t>
      </w:r>
      <w:r w:rsidR="004C68B6">
        <w:t xml:space="preserve"> milyar dolar seviyesin</w:t>
      </w:r>
      <w:r w:rsidR="00F26D62">
        <w:t>d</w:t>
      </w:r>
      <w:r w:rsidR="004C68B6">
        <w:t xml:space="preserve">e </w:t>
      </w:r>
      <w:r w:rsidR="00F26D62">
        <w:t>gerçekleşti.</w:t>
      </w: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Default="005F16FA" w:rsidP="00CE7503">
      <w:pPr>
        <w:spacing w:after="0" w:line="240" w:lineRule="auto"/>
      </w:pPr>
    </w:p>
    <w:p w:rsidR="005F16FA" w:rsidRPr="00CA6A1E" w:rsidRDefault="005F16FA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</w:p>
    <w:p w:rsidR="00501781" w:rsidRDefault="00E86C2E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321EBC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$  (2019</w:t>
      </w:r>
      <w:r w:rsidR="000E2E35">
        <w:rPr>
          <w:rFonts w:eastAsia="Times New Roman" w:cs="Times New Roman"/>
          <w:b/>
          <w:bCs/>
          <w:kern w:val="36"/>
          <w:sz w:val="24"/>
          <w:szCs w:val="24"/>
        </w:rPr>
        <w:t>Nisan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2"/>
        <w:gridCol w:w="1019"/>
        <w:gridCol w:w="1553"/>
      </w:tblGrid>
      <w:tr w:rsidR="00587E0B" w:rsidRPr="00587E0B" w:rsidTr="000E2E35">
        <w:trPr>
          <w:trHeight w:val="119"/>
        </w:trPr>
        <w:tc>
          <w:tcPr>
            <w:tcW w:w="5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19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913A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55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İhracat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1,243,160,205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Krallık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818,650,334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777,042,977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754,206,880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735,779,357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İspanya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687,193,867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685,223,426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İsrail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359,867,340</w:t>
            </w:r>
          </w:p>
        </w:tc>
      </w:tr>
      <w:tr w:rsidR="000E2E35" w:rsidRPr="00587E0B" w:rsidTr="000E2E35">
        <w:trPr>
          <w:trHeight w:val="119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357,723,467</w:t>
            </w:r>
          </w:p>
        </w:tc>
      </w:tr>
      <w:tr w:rsidR="000E2E35" w:rsidRPr="00587E0B" w:rsidTr="000E2E35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S. Arabistan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356,746,213</w:t>
            </w:r>
          </w:p>
        </w:tc>
      </w:tr>
    </w:tbl>
    <w:tbl>
      <w:tblPr>
        <w:tblpPr w:leftFromText="141" w:rightFromText="141" w:vertAnchor="text" w:horzAnchor="page" w:tblpX="5167" w:tblpY="-4440"/>
        <w:tblW w:w="3379" w:type="dxa"/>
        <w:tblCellMar>
          <w:left w:w="70" w:type="dxa"/>
          <w:right w:w="70" w:type="dxa"/>
        </w:tblCellMar>
        <w:tblLook w:val="04A0"/>
      </w:tblPr>
      <w:tblGrid>
        <w:gridCol w:w="724"/>
        <w:gridCol w:w="1047"/>
        <w:gridCol w:w="1608"/>
      </w:tblGrid>
      <w:tr w:rsidR="00913A90" w:rsidRPr="00587E0B" w:rsidTr="00321EBC">
        <w:trPr>
          <w:trHeight w:val="2"/>
        </w:trPr>
        <w:tc>
          <w:tcPr>
            <w:tcW w:w="7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1047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321E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Ülke adı</w:t>
            </w:r>
          </w:p>
        </w:tc>
        <w:tc>
          <w:tcPr>
            <w:tcW w:w="160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587E0B" w:rsidRPr="00587E0B" w:rsidRDefault="00587E0B" w:rsidP="007E7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İthalat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Rusya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1,861,283,047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Çin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1,457,651,120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Almanya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1,454,446,422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Ülke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1,063,863,084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ABD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925,062,678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İtalya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759,551,434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Fransa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558,554,249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Hindistan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527,915,653</w:t>
            </w:r>
          </w:p>
        </w:tc>
      </w:tr>
      <w:tr w:rsidR="000E2E35" w:rsidRPr="00587E0B" w:rsidTr="00321EBC">
        <w:trPr>
          <w:trHeight w:val="2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İran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499,104,262</w:t>
            </w:r>
          </w:p>
        </w:tc>
      </w:tr>
      <w:tr w:rsidR="000E2E35" w:rsidRPr="00587E0B" w:rsidTr="00321EBC">
        <w:trPr>
          <w:trHeight w:val="7"/>
        </w:trPr>
        <w:tc>
          <w:tcPr>
            <w:tcW w:w="72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587E0B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587E0B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1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B. Krallık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494,221,072</w:t>
            </w:r>
          </w:p>
        </w:tc>
      </w:tr>
    </w:tbl>
    <w:p w:rsidR="00501781" w:rsidRPr="00207D30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60716F" w:rsidRPr="009C3D5A" w:rsidRDefault="0060716F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913A90" w:rsidRDefault="008D17ED" w:rsidP="00CD72A5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t xml:space="preserve">Türkiye, </w:t>
      </w:r>
      <w:r w:rsidR="00CC376F" w:rsidRPr="009C3D5A">
        <w:t>201</w:t>
      </w:r>
      <w:r w:rsidR="008262AB">
        <w:t>9</w:t>
      </w:r>
      <w:r w:rsidR="000E2E35">
        <w:t>Nisan</w:t>
      </w:r>
      <w:r>
        <w:t>ayında</w:t>
      </w:r>
      <w:r w:rsidR="00955246" w:rsidRPr="009C3D5A">
        <w:t xml:space="preserve"> en fazla ihracatı</w:t>
      </w:r>
      <w:r w:rsidR="00501781">
        <w:t xml:space="preserve"> Almanya’ya yapmıştır. 1</w:t>
      </w:r>
      <w:r w:rsidR="001B4973">
        <w:t>,24</w:t>
      </w:r>
      <w:r w:rsidR="00CC376F" w:rsidRPr="009C3D5A">
        <w:t xml:space="preserve"> milyar dolarlık ihracat</w:t>
      </w:r>
      <w:r w:rsidR="00955246" w:rsidRPr="009C3D5A">
        <w:t xml:space="preserve"> ile </w:t>
      </w:r>
      <w:r w:rsidR="00CC376F"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FC5DBA">
        <w:t xml:space="preserve"> </w:t>
      </w:r>
      <w:r w:rsidR="001B4973">
        <w:t>818,7</w:t>
      </w:r>
      <w:r w:rsidR="00E50701">
        <w:t>milyon</w:t>
      </w:r>
      <w:r w:rsidR="006E7CD2" w:rsidRPr="009C3D5A">
        <w:t xml:space="preserve"> dolar ile</w:t>
      </w:r>
      <w:r w:rsidR="00FC5DBA">
        <w:t xml:space="preserve"> </w:t>
      </w:r>
      <w:r w:rsidR="008262AB">
        <w:t>B. Krallık</w:t>
      </w:r>
      <w:r w:rsidR="00955246" w:rsidRPr="009C3D5A">
        <w:t xml:space="preserve">, </w:t>
      </w:r>
      <w:r w:rsidR="001B4973">
        <w:t>777</w:t>
      </w:r>
      <w:r w:rsidR="00501781">
        <w:t>milyon</w:t>
      </w:r>
      <w:r w:rsidR="006E7CD2" w:rsidRPr="009C3D5A">
        <w:t xml:space="preserve"> dolar ile </w:t>
      </w:r>
      <w:r w:rsidR="00587E0B">
        <w:t>İtalya</w:t>
      </w:r>
      <w:r w:rsidR="00955246" w:rsidRPr="009C3D5A">
        <w:t xml:space="preserve"> ve</w:t>
      </w:r>
      <w:r w:rsidR="001B4973">
        <w:t>754,2</w:t>
      </w:r>
      <w:r w:rsidR="00501781">
        <w:t xml:space="preserve"> milyon</w:t>
      </w:r>
      <w:r w:rsidR="006E7CD2" w:rsidRPr="009C3D5A">
        <w:t xml:space="preserve"> dolar ile</w:t>
      </w:r>
      <w:r w:rsidR="00FC5DBA">
        <w:t xml:space="preserve"> </w:t>
      </w:r>
      <w:r w:rsidR="007E7CDF">
        <w:t>Irak</w:t>
      </w:r>
      <w:r w:rsidR="00955246" w:rsidRPr="009C3D5A">
        <w:t>takip etmektedir. İth</w:t>
      </w:r>
      <w:r w:rsidR="00587E0B">
        <w:t>alatta i</w:t>
      </w:r>
      <w:r w:rsidR="006006DA">
        <w:t xml:space="preserve">se </w:t>
      </w:r>
      <w:r w:rsidR="008262AB">
        <w:t>Rusya</w:t>
      </w:r>
      <w:r w:rsidR="006006DA">
        <w:t xml:space="preserve"> lider konumdadır.</w:t>
      </w:r>
      <w:r w:rsidR="008262AB">
        <w:t xml:space="preserve"> Türkiye’nin 2019</w:t>
      </w:r>
      <w:r w:rsidR="000E2E35">
        <w:t>Nisan</w:t>
      </w:r>
      <w:r w:rsidR="00587E0B">
        <w:t xml:space="preserve">ayında </w:t>
      </w:r>
      <w:r w:rsidR="008262AB">
        <w:t>Rusya’da</w:t>
      </w:r>
      <w:r w:rsidR="00CA6A1E">
        <w:t>n</w:t>
      </w:r>
      <w:r w:rsidR="00955246" w:rsidRPr="009C3D5A">
        <w:t xml:space="preserve"> yaptığı ithalat </w:t>
      </w:r>
      <w:r w:rsidR="001B4973">
        <w:t>1,86</w:t>
      </w:r>
      <w:r w:rsidR="00955246" w:rsidRPr="009C3D5A">
        <w:t xml:space="preserve"> milyar dolar olup </w:t>
      </w:r>
      <w:r w:rsidR="008262AB">
        <w:t>Rusya’yı</w:t>
      </w:r>
      <w:r w:rsidR="00955246" w:rsidRPr="009C3D5A">
        <w:t xml:space="preserve"> sırası ile </w:t>
      </w:r>
      <w:r w:rsidR="008262AB">
        <w:t>1</w:t>
      </w:r>
      <w:r w:rsidR="006D5432" w:rsidRPr="009C3D5A">
        <w:t>,</w:t>
      </w:r>
      <w:r w:rsidR="001B4973">
        <w:t>46</w:t>
      </w:r>
      <w:r w:rsidR="003D0EA9" w:rsidRPr="009C3D5A">
        <w:t xml:space="preserve"> milyar dolar ile </w:t>
      </w:r>
      <w:r w:rsidR="001B4973">
        <w:t>Çin, 1,45</w:t>
      </w:r>
      <w:r w:rsidR="003D0EA9" w:rsidRPr="009C3D5A">
        <w:t xml:space="preserve"> milyar dolar ile </w:t>
      </w:r>
      <w:r w:rsidR="001B4973">
        <w:t>Almanya</w:t>
      </w:r>
      <w:r w:rsidR="00E50701">
        <w:t xml:space="preserve"> ve </w:t>
      </w:r>
      <w:r w:rsidR="008262AB">
        <w:t>1,</w:t>
      </w:r>
      <w:r w:rsidR="001B4973">
        <w:t>06</w:t>
      </w:r>
      <w:r w:rsidR="00DA7CF5">
        <w:t xml:space="preserve"> milyar</w:t>
      </w:r>
      <w:r w:rsidR="003D0EA9" w:rsidRPr="009C3D5A">
        <w:t xml:space="preserve"> dolar ile </w:t>
      </w:r>
      <w:r w:rsidR="007E7CDF">
        <w:t xml:space="preserve">gizli ülke verisi </w:t>
      </w:r>
      <w:r w:rsidR="00955246" w:rsidRPr="009C3D5A">
        <w:t xml:space="preserve">takip etmektedir. </w:t>
      </w:r>
    </w:p>
    <w:p w:rsidR="00314CD6" w:rsidRDefault="00D074EA" w:rsidP="00314CD6">
      <w:pPr>
        <w:spacing w:after="0" w:line="240" w:lineRule="auto"/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4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 w:rsidR="00284EE7">
        <w:rPr>
          <w:rFonts w:eastAsia="Times New Roman" w:cs="Times New Roman"/>
          <w:b/>
          <w:bCs/>
          <w:kern w:val="36"/>
          <w:sz w:val="24"/>
          <w:szCs w:val="24"/>
        </w:rPr>
        <w:t xml:space="preserve">SITC Rev3 sınıflamasına göre </w:t>
      </w:r>
      <w:r w:rsidR="00207511">
        <w:rPr>
          <w:rFonts w:eastAsia="Times New Roman" w:cs="Times New Roman"/>
          <w:b/>
          <w:bCs/>
          <w:kern w:val="36"/>
          <w:sz w:val="24"/>
          <w:szCs w:val="24"/>
        </w:rPr>
        <w:t>dış ticaret, $  (</w:t>
      </w:r>
      <w:r w:rsidR="0001649F">
        <w:rPr>
          <w:rFonts w:eastAsia="Times New Roman" w:cs="Times New Roman"/>
          <w:b/>
          <w:bCs/>
          <w:kern w:val="36"/>
          <w:sz w:val="24"/>
          <w:szCs w:val="24"/>
        </w:rPr>
        <w:t>2019</w:t>
      </w:r>
      <w:r w:rsidR="001B4973">
        <w:rPr>
          <w:rFonts w:eastAsia="Times New Roman" w:cs="Times New Roman"/>
          <w:b/>
          <w:bCs/>
          <w:kern w:val="36"/>
          <w:sz w:val="24"/>
          <w:szCs w:val="24"/>
        </w:rPr>
        <w:t>Nisan</w:t>
      </w:r>
      <w:r w:rsidR="00E57C88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83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47"/>
        <w:gridCol w:w="5440"/>
        <w:gridCol w:w="2294"/>
      </w:tblGrid>
      <w:tr w:rsidR="000E2E35" w:rsidRPr="00E57C88" w:rsidTr="000E2E35">
        <w:trPr>
          <w:trHeight w:val="1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544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94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İhracat Dolar</w:t>
            </w:r>
          </w:p>
        </w:tc>
      </w:tr>
      <w:tr w:rsidR="000E2E35" w:rsidRPr="00E57C88" w:rsidTr="000E2E35">
        <w:trPr>
          <w:trHeight w:val="357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2.142.016.073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Giyim eşyası ve bunların aksesuarları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1.341.743.966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Teks</w:t>
            </w:r>
            <w:r w:rsidR="000E2E35">
              <w:rPr>
                <w:rFonts w:ascii="Arial" w:hAnsi="Arial" w:cs="Arial"/>
                <w:color w:val="000000"/>
                <w:sz w:val="16"/>
                <w:szCs w:val="16"/>
              </w:rPr>
              <w:t>til ürünleri (iplik, kumaş, yer kaplamaları, hazır eşya)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1.033.856.150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1.013.090.267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Başka yerde belirtilmeyen çeşitli mamül eşyalar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815.505.162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Elektrik makinaları,</w:t>
            </w:r>
            <w:r w:rsidR="00FD07B5">
              <w:rPr>
                <w:rFonts w:ascii="Arial" w:hAnsi="Arial" w:cs="Arial"/>
                <w:color w:val="000000"/>
                <w:sz w:val="16"/>
                <w:szCs w:val="16"/>
              </w:rPr>
              <w:t xml:space="preserve"> cihazları ve aletleri, vb.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aksam,parçaları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797.993.279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Demir, çelik, bakır, nikel, alü</w:t>
            </w:r>
            <w:r w:rsidR="000E2E35">
              <w:rPr>
                <w:rFonts w:ascii="Arial" w:hAnsi="Arial" w:cs="Arial"/>
                <w:color w:val="000000"/>
                <w:sz w:val="16"/>
                <w:szCs w:val="16"/>
              </w:rPr>
              <w:t>minyum ve diğer adi metallerden eşya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623.281.888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601.087.500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Meyve ve sebzeler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504.306.917</w:t>
            </w:r>
          </w:p>
        </w:tc>
      </w:tr>
      <w:tr w:rsidR="000E2E35" w:rsidRPr="00E57C88" w:rsidTr="000E2E35">
        <w:trPr>
          <w:trHeight w:val="1"/>
        </w:trPr>
        <w:tc>
          <w:tcPr>
            <w:tcW w:w="0" w:type="auto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479.027.711</w:t>
            </w:r>
          </w:p>
        </w:tc>
      </w:tr>
    </w:tbl>
    <w:p w:rsidR="00D074EA" w:rsidRDefault="00D074EA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W w:w="844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5"/>
        <w:gridCol w:w="5586"/>
        <w:gridCol w:w="2268"/>
      </w:tblGrid>
      <w:tr w:rsidR="000E2E35" w:rsidRPr="00E57C88" w:rsidTr="000E2E35">
        <w:trPr>
          <w:trHeight w:val="272"/>
        </w:trPr>
        <w:tc>
          <w:tcPr>
            <w:tcW w:w="5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Sıra</w:t>
            </w:r>
          </w:p>
        </w:tc>
        <w:tc>
          <w:tcPr>
            <w:tcW w:w="558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8269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SITC adı</w:t>
            </w: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İthalat Dolar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Gizli veri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2.171.413.167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2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Demir ve çelik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947.964.427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3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Petrol, petrolden elde edilen ürünler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941.241.268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4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Altın, </w:t>
            </w:r>
            <w:r w:rsidR="000E2E35">
              <w:rPr>
                <w:rFonts w:ascii="Arial" w:hAnsi="Arial" w:cs="Arial"/>
                <w:color w:val="000000"/>
                <w:sz w:val="16"/>
                <w:szCs w:val="16"/>
              </w:rPr>
              <w:t>parasal olmayan (altın madeni ve konsantreleri hariç)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865.036.817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5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İlk şekillerde plastikler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853.258.583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6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Metal cevherleri, döküntüleri, hurdaları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736.164.958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7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Güç üreten makineler ve araçlar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713.904.612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8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Elektrik makinaları,cihazları ve aletleri, vb.aksam,parçaları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713.815.133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9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Motorlu kara taşıtları, bisiklet ver motosikletler, bunların aksam ve parçası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706.704.141</w:t>
            </w:r>
          </w:p>
        </w:tc>
      </w:tr>
      <w:tr w:rsidR="000E2E35" w:rsidRPr="00E57C88" w:rsidTr="000E2E35">
        <w:trPr>
          <w:trHeight w:val="272"/>
        </w:trPr>
        <w:tc>
          <w:tcPr>
            <w:tcW w:w="59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0E2E35" w:rsidRPr="00E57C88" w:rsidRDefault="000E2E35" w:rsidP="000E2E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E57C88">
              <w:rPr>
                <w:rFonts w:ascii="Calibri" w:eastAsia="Times New Roman" w:hAnsi="Calibri" w:cs="Calibri"/>
                <w:b/>
                <w:bCs/>
                <w:color w:val="FFFFFF"/>
              </w:rPr>
              <w:t>10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0E2E35" w:rsidP="000E2E3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Diğer genel endüstri makina/cihazların aksamları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E35" w:rsidRDefault="00FD07B5" w:rsidP="000E2E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670.934.713</w:t>
            </w:r>
          </w:p>
        </w:tc>
      </w:tr>
    </w:tbl>
    <w:p w:rsidR="00C56530" w:rsidRPr="00207D30" w:rsidRDefault="00C56530" w:rsidP="00C56530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207D30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5123EB" w:rsidRDefault="00C56530" w:rsidP="005123EB">
      <w:pPr>
        <w:jc w:val="both"/>
        <w:rPr>
          <w:rFonts w:cstheme="minorHAnsi"/>
          <w:color w:val="000000"/>
        </w:rPr>
      </w:pPr>
      <w:r>
        <w:br/>
      </w:r>
      <w:r w:rsidR="00D074EA" w:rsidRPr="009C3D5A">
        <w:t>Se</w:t>
      </w:r>
      <w:r w:rsidR="006306C8">
        <w:t>ktörel ihracatta</w:t>
      </w:r>
      <w:r w:rsidR="00D074EA">
        <w:t>, 201</w:t>
      </w:r>
      <w:r w:rsidR="00CD72A5">
        <w:t>9</w:t>
      </w:r>
      <w:r w:rsidR="001B4973">
        <w:t>Nisan</w:t>
      </w:r>
      <w:r w:rsidR="00801235">
        <w:t xml:space="preserve">ayında </w:t>
      </w:r>
      <w:r w:rsidR="001B4973">
        <w:t>2,14</w:t>
      </w:r>
      <w:r w:rsidR="006306C8">
        <w:t xml:space="preserve"> milyar dolar ile </w:t>
      </w:r>
      <w:r w:rsidR="004F4379" w:rsidRPr="004F4379">
        <w:t>Motorlu kara taşıtı ve römorklar</w:t>
      </w:r>
      <w:r w:rsidR="00FC5DBA">
        <w:t xml:space="preserve"> </w:t>
      </w:r>
      <w:r w:rsidR="006306C8">
        <w:t>lider konumdadır.</w:t>
      </w:r>
      <w:r w:rsidR="00D074EA" w:rsidRPr="009C3D5A">
        <w:t xml:space="preserve"> Sektörü </w:t>
      </w:r>
      <w:r w:rsidR="006306C8">
        <w:t>1,</w:t>
      </w:r>
      <w:r w:rsidR="001B4973">
        <w:t>34</w:t>
      </w:r>
      <w:r w:rsidR="00D074EA" w:rsidRPr="009C3D5A">
        <w:t xml:space="preserve"> milyar dolar ile </w:t>
      </w:r>
      <w:r w:rsidR="001B4973">
        <w:t>g</w:t>
      </w:r>
      <w:r w:rsidR="001B4973" w:rsidRPr="001B4973">
        <w:t>iyim eşyası ve bunların aksesuarları</w:t>
      </w:r>
      <w:r w:rsidR="006306C8" w:rsidRPr="009C3D5A">
        <w:t>ihracatı</w:t>
      </w:r>
      <w:r w:rsidR="00D074EA" w:rsidRPr="009C3D5A">
        <w:t xml:space="preserve">ve </w:t>
      </w:r>
      <w:r w:rsidR="009C05B7">
        <w:t>1</w:t>
      </w:r>
      <w:r w:rsidR="001B4973">
        <w:t>,0</w:t>
      </w:r>
      <w:r w:rsidR="004F4379">
        <w:t>3</w:t>
      </w:r>
      <w:r w:rsidR="00CD72A5">
        <w:t xml:space="preserve"> milyar dolar </w:t>
      </w:r>
      <w:r w:rsidR="00D074EA" w:rsidRPr="009C3D5A">
        <w:t xml:space="preserve">ile </w:t>
      </w:r>
      <w:r w:rsidR="001B4973">
        <w:t>teks</w:t>
      </w:r>
      <w:r w:rsidR="001B4973" w:rsidRPr="001B4973">
        <w:t>til ürünleri (iplik, kumaş, yer kaplamaları, hazır eşya)</w:t>
      </w:r>
      <w:r w:rsidR="00D074EA" w:rsidRPr="009C3D5A">
        <w:t>ihracatı taki</w:t>
      </w:r>
      <w:bookmarkStart w:id="0" w:name="_GoBack"/>
      <w:r w:rsidR="00D074EA" w:rsidRPr="009C3D5A">
        <w:t>p</w:t>
      </w:r>
      <w:bookmarkEnd w:id="0"/>
      <w:r w:rsidR="00D074EA" w:rsidRPr="009C3D5A">
        <w:t xml:space="preserve"> etmektedir. İthalatta ise </w:t>
      </w:r>
      <w:r w:rsidR="001B4973">
        <w:t>ilk sırayı 2,17</w:t>
      </w:r>
      <w:r w:rsidR="005123EB">
        <w:t xml:space="preserve"> milyar dolarlık ithalat ile </w:t>
      </w:r>
      <w:r w:rsidR="001B4973">
        <w:t xml:space="preserve">gizli veri </w:t>
      </w:r>
      <w:r w:rsidR="004F4379">
        <w:t xml:space="preserve">alırken </w:t>
      </w:r>
      <w:r w:rsidR="007F0174">
        <w:t xml:space="preserve">ürünler </w:t>
      </w:r>
      <w:r w:rsidR="005123EB">
        <w:t xml:space="preserve">alırken, </w:t>
      </w:r>
      <w:r w:rsidR="00DA63E7">
        <w:t xml:space="preserve">onu </w:t>
      </w:r>
      <w:r w:rsidR="001B4973">
        <w:t>948</w:t>
      </w:r>
      <w:r w:rsidR="004F4379">
        <w:t xml:space="preserve"> milyar</w:t>
      </w:r>
      <w:r w:rsidR="007F0174">
        <w:t xml:space="preserve"> dolar </w:t>
      </w:r>
      <w:r w:rsidR="00801235">
        <w:t>ile</w:t>
      </w:r>
      <w:r w:rsidR="001B4973">
        <w:t xml:space="preserve">demir ve çelik </w:t>
      </w:r>
      <w:r w:rsidR="004F4379">
        <w:t xml:space="preserve">ve </w:t>
      </w:r>
      <w:r w:rsidR="001B4973">
        <w:t>941,2</w:t>
      </w:r>
      <w:r w:rsidR="004F4379">
        <w:t xml:space="preserve"> milyar dolarlık </w:t>
      </w:r>
      <w:r w:rsidR="00801235">
        <w:t>ithalatı ile</w:t>
      </w:r>
      <w:r w:rsidR="001B4973">
        <w:t xml:space="preserve">petrol, petrolden elde edilen ürünler </w:t>
      </w:r>
      <w:r w:rsidR="005123EB">
        <w:rPr>
          <w:rFonts w:cstheme="minorHAnsi"/>
          <w:color w:val="000000"/>
        </w:rPr>
        <w:t>takip etmektedir.</w:t>
      </w:r>
    </w:p>
    <w:p w:rsidR="00207D30" w:rsidRPr="00207D30" w:rsidRDefault="00207D30" w:rsidP="005123EB">
      <w:pPr>
        <w:jc w:val="both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5</w:t>
      </w: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:</w:t>
      </w:r>
      <w:r>
        <w:rPr>
          <w:rFonts w:eastAsia="Times New Roman" w:cs="Times New Roman"/>
          <w:b/>
          <w:bCs/>
          <w:kern w:val="36"/>
          <w:sz w:val="24"/>
          <w:szCs w:val="24"/>
        </w:rPr>
        <w:t>İmalat sanayi ürünleri için teknoloji yoğunluğu, mily</w:t>
      </w:r>
      <w:r w:rsidR="00D864BD">
        <w:rPr>
          <w:rFonts w:eastAsia="Times New Roman" w:cs="Times New Roman"/>
          <w:b/>
          <w:bCs/>
          <w:kern w:val="36"/>
          <w:sz w:val="24"/>
          <w:szCs w:val="24"/>
        </w:rPr>
        <w:t>ar</w:t>
      </w: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 $</w:t>
      </w:r>
      <w:r w:rsidR="00293278">
        <w:rPr>
          <w:rFonts w:eastAsia="Times New Roman" w:cs="Times New Roman"/>
          <w:b/>
          <w:bCs/>
          <w:kern w:val="36"/>
          <w:sz w:val="24"/>
          <w:szCs w:val="24"/>
        </w:rPr>
        <w:t>, %</w:t>
      </w:r>
      <w:r w:rsidR="008974F5">
        <w:rPr>
          <w:rFonts w:eastAsia="Times New Roman" w:cs="Times New Roman"/>
          <w:b/>
          <w:bCs/>
          <w:kern w:val="36"/>
          <w:sz w:val="24"/>
          <w:szCs w:val="24"/>
        </w:rPr>
        <w:t xml:space="preserve">  (201</w:t>
      </w:r>
      <w:r w:rsidR="007F0174">
        <w:rPr>
          <w:rFonts w:eastAsia="Times New Roman" w:cs="Times New Roman"/>
          <w:b/>
          <w:bCs/>
          <w:kern w:val="36"/>
          <w:sz w:val="24"/>
          <w:szCs w:val="24"/>
        </w:rPr>
        <w:t>9</w:t>
      </w:r>
      <w:r w:rsidR="001B4973">
        <w:rPr>
          <w:rFonts w:eastAsia="Times New Roman" w:cs="Times New Roman"/>
          <w:b/>
          <w:bCs/>
          <w:kern w:val="36"/>
          <w:sz w:val="24"/>
          <w:szCs w:val="24"/>
        </w:rPr>
        <w:t>Nisan</w:t>
      </w:r>
      <w:r w:rsidR="005C1EC6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5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İhracat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 imalat 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E61FA" w:rsidP="000E2E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E2E35">
              <w:rPr>
                <w:rFonts w:ascii="Calibri" w:eastAsia="Times New Roman" w:hAnsi="Calibri" w:cs="Calibri"/>
                <w:color w:val="000000"/>
                <w:lang w:val="en-US" w:eastAsia="en-US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0,45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3,2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7C407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35,6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27,7</w:t>
            </w:r>
          </w:p>
        </w:tc>
      </w:tr>
      <w:tr w:rsidR="008378AE" w:rsidRPr="008378AE" w:rsidTr="008378AE">
        <w:trPr>
          <w:trHeight w:val="25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9086A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0B1709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E2E35">
              <w:rPr>
                <w:rFonts w:ascii="Calibri" w:eastAsia="Times New Roman" w:hAnsi="Calibri" w:cs="Calibri"/>
                <w:color w:val="000000"/>
                <w:lang w:val="en-US" w:eastAsia="en-US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E2E35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33,4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tbl>
      <w:tblPr>
        <w:tblW w:w="5402" w:type="dxa"/>
        <w:tblInd w:w="93" w:type="dxa"/>
        <w:tblLook w:val="04A0"/>
      </w:tblPr>
      <w:tblGrid>
        <w:gridCol w:w="2425"/>
        <w:gridCol w:w="1559"/>
        <w:gridCol w:w="1418"/>
      </w:tblGrid>
      <w:tr w:rsidR="008378AE" w:rsidRPr="008378AE" w:rsidTr="008378AE">
        <w:trPr>
          <w:trHeight w:val="219"/>
        </w:trPr>
        <w:tc>
          <w:tcPr>
            <w:tcW w:w="2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İthalat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Değer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Yüzde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Toplam imalat sanayi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F418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087D30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  <w:r w:rsidR="0019086A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 w:rsidR="000E2E35">
              <w:rPr>
                <w:rFonts w:ascii="Calibri" w:eastAsia="Times New Roman" w:hAnsi="Calibri" w:cs="Calibri"/>
                <w:color w:val="000000"/>
                <w:lang w:val="en-US" w:eastAsia="en-US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color w:val="000000"/>
                <w:lang w:val="en-US" w:eastAsia="en-US"/>
              </w:rPr>
              <w:t>100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B4973" w:rsidP="001B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F41830">
              <w:rPr>
                <w:rFonts w:ascii="Calibri" w:eastAsia="Times New Roman" w:hAnsi="Calibri" w:cs="Calibri"/>
                <w:color w:val="000000"/>
                <w:lang w:val="en-US" w:eastAsia="en-US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5C1EC6" w:rsidP="008974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  <w:r w:rsidR="001B4973">
              <w:rPr>
                <w:rFonts w:ascii="Calibri" w:eastAsia="Times New Roman" w:hAnsi="Calibri" w:cs="Calibri"/>
                <w:color w:val="000000"/>
                <w:lang w:val="en-US" w:eastAsia="en-US"/>
              </w:rPr>
              <w:t>2,9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Orta-yüksek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B4973" w:rsidP="001B4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5,47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  <w:r w:rsidR="001B4973">
              <w:rPr>
                <w:rFonts w:ascii="Calibri" w:eastAsia="Times New Roman" w:hAnsi="Calibri" w:cs="Calibri"/>
                <w:color w:val="000000"/>
                <w:lang w:val="en-US" w:eastAsia="en-US"/>
              </w:rPr>
              <w:t>1,5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Orta-düşük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B4973" w:rsidP="001908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B4973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33,7</w:t>
            </w:r>
          </w:p>
        </w:tc>
      </w:tr>
      <w:tr w:rsidR="008378AE" w:rsidRPr="008378AE" w:rsidTr="008378AE">
        <w:trPr>
          <w:trHeight w:val="219"/>
        </w:trPr>
        <w:tc>
          <w:tcPr>
            <w:tcW w:w="242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000000" w:fill="002060"/>
            <w:noWrap/>
            <w:vAlign w:val="center"/>
            <w:hideMark/>
          </w:tcPr>
          <w:p w:rsidR="008378AE" w:rsidRPr="008378AE" w:rsidRDefault="008378AE" w:rsidP="008378A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</w:pPr>
            <w:r w:rsidRPr="008378AE">
              <w:rPr>
                <w:rFonts w:ascii="Calibri" w:eastAsia="Times New Roman" w:hAnsi="Calibri" w:cs="Calibri"/>
                <w:b/>
                <w:color w:val="FFFFFF"/>
                <w:lang w:val="en-US" w:eastAsia="en-US"/>
              </w:rPr>
              <w:t>Düşük teknoloji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1B4973" w:rsidP="001047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78AE" w:rsidRPr="008378AE" w:rsidRDefault="00087D30" w:rsidP="008378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n-US"/>
              </w:rPr>
              <w:t>11,8</w:t>
            </w:r>
          </w:p>
        </w:tc>
      </w:tr>
    </w:tbl>
    <w:p w:rsidR="00207D30" w:rsidRDefault="00207D30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6"/>
          <w:szCs w:val="24"/>
        </w:rPr>
      </w:pPr>
      <w:r w:rsidRPr="008D17ED">
        <w:rPr>
          <w:rFonts w:eastAsia="Times New Roman" w:cs="Times New Roman"/>
          <w:b/>
          <w:bCs/>
          <w:kern w:val="36"/>
          <w:sz w:val="16"/>
          <w:szCs w:val="24"/>
        </w:rPr>
        <w:t>Kaynak: TÜİK</w:t>
      </w:r>
    </w:p>
    <w:p w:rsidR="00207D30" w:rsidRPr="00D074EA" w:rsidRDefault="00207D30" w:rsidP="00B61CAE">
      <w:pPr>
        <w:spacing w:after="0" w:line="240" w:lineRule="auto"/>
        <w:rPr>
          <w:rFonts w:eastAsia="Times New Roman" w:cs="Times New Roman"/>
          <w:bCs/>
          <w:kern w:val="36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>.3 sınıflamasına göre</w:t>
      </w:r>
      <w:r w:rsidR="007F0174">
        <w:t xml:space="preserve"> 2019</w:t>
      </w:r>
      <w:r w:rsidR="00590296">
        <w:t>Nisan</w:t>
      </w:r>
      <w:r w:rsidR="007C155D" w:rsidRPr="009C3D5A">
        <w:t xml:space="preserve"> ayında </w:t>
      </w:r>
      <w:r w:rsidRPr="009C3D5A">
        <w:t xml:space="preserve">imalat sanayi ürünlerinin toplam </w:t>
      </w:r>
      <w:r w:rsidR="008378AE">
        <w:t>ihracatı içerisinde</w:t>
      </w:r>
      <w:r w:rsidR="00C1467F">
        <w:t>yüksek</w:t>
      </w:r>
      <w:r w:rsidRPr="009C3D5A">
        <w:t xml:space="preserve"> teknoloji</w:t>
      </w:r>
      <w:r w:rsidR="00C1467F">
        <w:t>li</w:t>
      </w:r>
      <w:r w:rsidR="008378AE">
        <w:t xml:space="preserve"> ürünlerin </w:t>
      </w:r>
      <w:r w:rsidR="00D471EB">
        <w:t xml:space="preserve">payı yüzde </w:t>
      </w:r>
      <w:r w:rsidR="007F0174">
        <w:t>3</w:t>
      </w:r>
      <w:r w:rsidR="00590296">
        <w:t>,2</w:t>
      </w:r>
      <w:r w:rsidR="00BB0444">
        <w:t>,</w:t>
      </w:r>
      <w:r w:rsidRPr="009C3D5A">
        <w:t xml:space="preserve">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19086A">
        <w:t>3</w:t>
      </w:r>
      <w:r w:rsidR="00590296">
        <w:t>5,6</w:t>
      </w:r>
      <w:r w:rsidR="00DC3282">
        <w:t>’</w:t>
      </w:r>
      <w:r w:rsidR="00590296">
        <w:t>dı</w:t>
      </w:r>
      <w:r w:rsidR="000048F7">
        <w:t>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8378AE">
        <w:t xml:space="preserve">nayi ürünleri içerisinde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5C1EC6">
        <w:t>ürünlerinin payı yüzde 1</w:t>
      </w:r>
      <w:r w:rsidR="00590296">
        <w:t>2,9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0048F7">
        <w:t>li ürünlerin pa</w:t>
      </w:r>
      <w:r w:rsidR="007F0174">
        <w:t xml:space="preserve">yı ise yüzde </w:t>
      </w:r>
      <w:r w:rsidR="00590296">
        <w:t>41,5</w:t>
      </w:r>
      <w:r w:rsidR="005C1EC6">
        <w:t>’</w:t>
      </w:r>
      <w:r w:rsidR="00590296">
        <w:t>t</w:t>
      </w:r>
      <w:r w:rsidR="000048F7">
        <w:t>ir</w:t>
      </w:r>
      <w:r w:rsidR="00E27E57" w:rsidRPr="009C3D5A">
        <w:t>.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E22" w:rsidRDefault="00EB5E22" w:rsidP="00F43AC2">
      <w:pPr>
        <w:spacing w:after="0" w:line="240" w:lineRule="auto"/>
      </w:pPr>
      <w:r>
        <w:separator/>
      </w:r>
    </w:p>
  </w:endnote>
  <w:endnote w:type="continuationSeparator" w:id="1">
    <w:p w:rsidR="00EB5E22" w:rsidRDefault="00EB5E22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820484" w:rsidRDefault="007A010C">
        <w:pPr>
          <w:pStyle w:val="Altbilgi"/>
          <w:jc w:val="right"/>
        </w:pPr>
        <w:r>
          <w:fldChar w:fldCharType="begin"/>
        </w:r>
        <w:r w:rsidR="002B763F">
          <w:instrText xml:space="preserve"> PAGE   \* MERGEFORMAT </w:instrText>
        </w:r>
        <w:r>
          <w:fldChar w:fldCharType="separate"/>
        </w:r>
        <w:r w:rsidR="00FC5D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20484" w:rsidRDefault="00820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E22" w:rsidRDefault="00EB5E22" w:rsidP="00F43AC2">
      <w:pPr>
        <w:spacing w:after="0" w:line="240" w:lineRule="auto"/>
      </w:pPr>
      <w:r>
        <w:separator/>
      </w:r>
    </w:p>
  </w:footnote>
  <w:footnote w:type="continuationSeparator" w:id="1">
    <w:p w:rsidR="00EB5E22" w:rsidRDefault="00EB5E22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D01"/>
    <w:rsid w:val="000048F7"/>
    <w:rsid w:val="00011017"/>
    <w:rsid w:val="00015C3D"/>
    <w:rsid w:val="0001649F"/>
    <w:rsid w:val="000169CD"/>
    <w:rsid w:val="000174DC"/>
    <w:rsid w:val="00024004"/>
    <w:rsid w:val="00024E59"/>
    <w:rsid w:val="00030B38"/>
    <w:rsid w:val="00034A51"/>
    <w:rsid w:val="00043730"/>
    <w:rsid w:val="00047A3E"/>
    <w:rsid w:val="00047CE7"/>
    <w:rsid w:val="00066999"/>
    <w:rsid w:val="00087D30"/>
    <w:rsid w:val="000B0F76"/>
    <w:rsid w:val="000B1709"/>
    <w:rsid w:val="000C0786"/>
    <w:rsid w:val="000E09A3"/>
    <w:rsid w:val="000E2E35"/>
    <w:rsid w:val="000E65E3"/>
    <w:rsid w:val="00104735"/>
    <w:rsid w:val="00134344"/>
    <w:rsid w:val="0013761E"/>
    <w:rsid w:val="001603F9"/>
    <w:rsid w:val="00162943"/>
    <w:rsid w:val="00162B88"/>
    <w:rsid w:val="0019086A"/>
    <w:rsid w:val="00197079"/>
    <w:rsid w:val="001A3903"/>
    <w:rsid w:val="001B4973"/>
    <w:rsid w:val="001F4B97"/>
    <w:rsid w:val="001F5C25"/>
    <w:rsid w:val="00207511"/>
    <w:rsid w:val="00207D30"/>
    <w:rsid w:val="002117E9"/>
    <w:rsid w:val="002157EE"/>
    <w:rsid w:val="00230A29"/>
    <w:rsid w:val="002349EC"/>
    <w:rsid w:val="0023568E"/>
    <w:rsid w:val="00240215"/>
    <w:rsid w:val="00254707"/>
    <w:rsid w:val="00270B23"/>
    <w:rsid w:val="00273DDB"/>
    <w:rsid w:val="00284EE7"/>
    <w:rsid w:val="0029300F"/>
    <w:rsid w:val="00293278"/>
    <w:rsid w:val="002956A9"/>
    <w:rsid w:val="002B1532"/>
    <w:rsid w:val="002B628C"/>
    <w:rsid w:val="002B763F"/>
    <w:rsid w:val="002E5CA2"/>
    <w:rsid w:val="002E6E48"/>
    <w:rsid w:val="00314005"/>
    <w:rsid w:val="00314CD6"/>
    <w:rsid w:val="00321EBC"/>
    <w:rsid w:val="003367F9"/>
    <w:rsid w:val="00392ED5"/>
    <w:rsid w:val="003944A2"/>
    <w:rsid w:val="003D0EA9"/>
    <w:rsid w:val="003F4F3D"/>
    <w:rsid w:val="00412B6A"/>
    <w:rsid w:val="00421039"/>
    <w:rsid w:val="004602F8"/>
    <w:rsid w:val="00472AF7"/>
    <w:rsid w:val="0048257F"/>
    <w:rsid w:val="004C5FAB"/>
    <w:rsid w:val="004C68B6"/>
    <w:rsid w:val="004D49AB"/>
    <w:rsid w:val="004E0C1E"/>
    <w:rsid w:val="004E7AA7"/>
    <w:rsid w:val="004F0E9E"/>
    <w:rsid w:val="004F4379"/>
    <w:rsid w:val="00501781"/>
    <w:rsid w:val="005123EB"/>
    <w:rsid w:val="00540D42"/>
    <w:rsid w:val="00577896"/>
    <w:rsid w:val="00587E0B"/>
    <w:rsid w:val="00590296"/>
    <w:rsid w:val="005A735F"/>
    <w:rsid w:val="005B007A"/>
    <w:rsid w:val="005B74E2"/>
    <w:rsid w:val="005C02CC"/>
    <w:rsid w:val="005C1EC6"/>
    <w:rsid w:val="005D6CB6"/>
    <w:rsid w:val="005E55BC"/>
    <w:rsid w:val="005F16FA"/>
    <w:rsid w:val="006006DA"/>
    <w:rsid w:val="0060716F"/>
    <w:rsid w:val="006306C8"/>
    <w:rsid w:val="00635D39"/>
    <w:rsid w:val="006538E8"/>
    <w:rsid w:val="006634A0"/>
    <w:rsid w:val="00672626"/>
    <w:rsid w:val="00676E49"/>
    <w:rsid w:val="006864AB"/>
    <w:rsid w:val="006A09A3"/>
    <w:rsid w:val="006C1C96"/>
    <w:rsid w:val="006D5432"/>
    <w:rsid w:val="006E3C93"/>
    <w:rsid w:val="006E7CD2"/>
    <w:rsid w:val="006F66DA"/>
    <w:rsid w:val="007214CC"/>
    <w:rsid w:val="00735D9A"/>
    <w:rsid w:val="00764636"/>
    <w:rsid w:val="00790C7B"/>
    <w:rsid w:val="007A010C"/>
    <w:rsid w:val="007A222E"/>
    <w:rsid w:val="007C155D"/>
    <w:rsid w:val="007C407A"/>
    <w:rsid w:val="007C538F"/>
    <w:rsid w:val="007D10EA"/>
    <w:rsid w:val="007E7CDF"/>
    <w:rsid w:val="007F0174"/>
    <w:rsid w:val="007F367A"/>
    <w:rsid w:val="007F50E4"/>
    <w:rsid w:val="00801235"/>
    <w:rsid w:val="00820484"/>
    <w:rsid w:val="008262AB"/>
    <w:rsid w:val="008269F5"/>
    <w:rsid w:val="00831B3B"/>
    <w:rsid w:val="008378AE"/>
    <w:rsid w:val="00847FC9"/>
    <w:rsid w:val="00867C71"/>
    <w:rsid w:val="0087171E"/>
    <w:rsid w:val="00886790"/>
    <w:rsid w:val="00890E8A"/>
    <w:rsid w:val="00894D47"/>
    <w:rsid w:val="008974F5"/>
    <w:rsid w:val="008A1816"/>
    <w:rsid w:val="008B246F"/>
    <w:rsid w:val="008D17ED"/>
    <w:rsid w:val="008E61FA"/>
    <w:rsid w:val="008F7528"/>
    <w:rsid w:val="00913A90"/>
    <w:rsid w:val="00922A92"/>
    <w:rsid w:val="009435E7"/>
    <w:rsid w:val="0094521C"/>
    <w:rsid w:val="0095258A"/>
    <w:rsid w:val="00955246"/>
    <w:rsid w:val="0097055D"/>
    <w:rsid w:val="00981AD3"/>
    <w:rsid w:val="009C05B7"/>
    <w:rsid w:val="009C3D5A"/>
    <w:rsid w:val="009E61C5"/>
    <w:rsid w:val="009E6645"/>
    <w:rsid w:val="009E6845"/>
    <w:rsid w:val="00A01B59"/>
    <w:rsid w:val="00A06E3C"/>
    <w:rsid w:val="00A13941"/>
    <w:rsid w:val="00A17326"/>
    <w:rsid w:val="00A2009E"/>
    <w:rsid w:val="00A25582"/>
    <w:rsid w:val="00A3750A"/>
    <w:rsid w:val="00A62888"/>
    <w:rsid w:val="00A6670C"/>
    <w:rsid w:val="00A86AF1"/>
    <w:rsid w:val="00A9435C"/>
    <w:rsid w:val="00AD00C3"/>
    <w:rsid w:val="00AF5794"/>
    <w:rsid w:val="00B01160"/>
    <w:rsid w:val="00B116E5"/>
    <w:rsid w:val="00B1525D"/>
    <w:rsid w:val="00B27572"/>
    <w:rsid w:val="00B61CAE"/>
    <w:rsid w:val="00B772CF"/>
    <w:rsid w:val="00B77C4F"/>
    <w:rsid w:val="00B861B5"/>
    <w:rsid w:val="00BB0444"/>
    <w:rsid w:val="00BB3701"/>
    <w:rsid w:val="00BC0061"/>
    <w:rsid w:val="00BC608C"/>
    <w:rsid w:val="00BD283D"/>
    <w:rsid w:val="00BF70F9"/>
    <w:rsid w:val="00C00DF5"/>
    <w:rsid w:val="00C13B06"/>
    <w:rsid w:val="00C1467F"/>
    <w:rsid w:val="00C1695B"/>
    <w:rsid w:val="00C21BFE"/>
    <w:rsid w:val="00C56530"/>
    <w:rsid w:val="00C6508C"/>
    <w:rsid w:val="00C7379E"/>
    <w:rsid w:val="00C77119"/>
    <w:rsid w:val="00CA31BE"/>
    <w:rsid w:val="00CA6A1E"/>
    <w:rsid w:val="00CB030C"/>
    <w:rsid w:val="00CB0A4D"/>
    <w:rsid w:val="00CC376F"/>
    <w:rsid w:val="00CD4865"/>
    <w:rsid w:val="00CD72A5"/>
    <w:rsid w:val="00CE7503"/>
    <w:rsid w:val="00D074EA"/>
    <w:rsid w:val="00D07D01"/>
    <w:rsid w:val="00D308FB"/>
    <w:rsid w:val="00D337A5"/>
    <w:rsid w:val="00D471EB"/>
    <w:rsid w:val="00D5436F"/>
    <w:rsid w:val="00D57F21"/>
    <w:rsid w:val="00D61B49"/>
    <w:rsid w:val="00D80CC9"/>
    <w:rsid w:val="00D864BD"/>
    <w:rsid w:val="00D8702A"/>
    <w:rsid w:val="00DA63E7"/>
    <w:rsid w:val="00DA7CF5"/>
    <w:rsid w:val="00DB20D7"/>
    <w:rsid w:val="00DB359A"/>
    <w:rsid w:val="00DC15D2"/>
    <w:rsid w:val="00DC3282"/>
    <w:rsid w:val="00DC5CA2"/>
    <w:rsid w:val="00DD6AA5"/>
    <w:rsid w:val="00DF13D8"/>
    <w:rsid w:val="00E0516C"/>
    <w:rsid w:val="00E07918"/>
    <w:rsid w:val="00E07B1A"/>
    <w:rsid w:val="00E20164"/>
    <w:rsid w:val="00E27E57"/>
    <w:rsid w:val="00E34DEB"/>
    <w:rsid w:val="00E50701"/>
    <w:rsid w:val="00E542E3"/>
    <w:rsid w:val="00E551E6"/>
    <w:rsid w:val="00E57C88"/>
    <w:rsid w:val="00E75459"/>
    <w:rsid w:val="00E83CB2"/>
    <w:rsid w:val="00E86C2E"/>
    <w:rsid w:val="00E92FFF"/>
    <w:rsid w:val="00EB3D95"/>
    <w:rsid w:val="00EB5E22"/>
    <w:rsid w:val="00EB5E5C"/>
    <w:rsid w:val="00EC602A"/>
    <w:rsid w:val="00F079BE"/>
    <w:rsid w:val="00F11B62"/>
    <w:rsid w:val="00F138EA"/>
    <w:rsid w:val="00F26D62"/>
    <w:rsid w:val="00F306F9"/>
    <w:rsid w:val="00F3379C"/>
    <w:rsid w:val="00F41830"/>
    <w:rsid w:val="00F43AC2"/>
    <w:rsid w:val="00F53242"/>
    <w:rsid w:val="00F727B6"/>
    <w:rsid w:val="00F72F39"/>
    <w:rsid w:val="00FA365B"/>
    <w:rsid w:val="00FB066D"/>
    <w:rsid w:val="00FC5DBA"/>
    <w:rsid w:val="00FD0625"/>
    <w:rsid w:val="00FD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619\Nisa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Taylan%20PC\Cloud\HH_D&#305;&#351;%20Ticaret%20&#304;statistik\DT_0619\Nisa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Sayfa1!$Q$7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Sayfa1!$Q$8:$Q$19</c:f>
              <c:numCache>
                <c:formatCode>0.0</c:formatCode>
                <c:ptCount val="12"/>
                <c:pt idx="0">
                  <c:v>12.434100724999999</c:v>
                </c:pt>
                <c:pt idx="1">
                  <c:v>13.148084013</c:v>
                </c:pt>
                <c:pt idx="2">
                  <c:v>15.553315197</c:v>
                </c:pt>
                <c:pt idx="3">
                  <c:v>13.846752357000005</c:v>
                </c:pt>
                <c:pt idx="4">
                  <c:v>14.256713233000003</c:v>
                </c:pt>
                <c:pt idx="5">
                  <c:v>12.924460023</c:v>
                </c:pt>
                <c:pt idx="6">
                  <c:v>14.048851409999996</c:v>
                </c:pt>
                <c:pt idx="7">
                  <c:v>12.331948453999999</c:v>
                </c:pt>
                <c:pt idx="8">
                  <c:v>14.398012083000001</c:v>
                </c:pt>
                <c:pt idx="9">
                  <c:v>15.677997154</c:v>
                </c:pt>
                <c:pt idx="10">
                  <c:v>15.492240228000004</c:v>
                </c:pt>
                <c:pt idx="11">
                  <c:v>13.811387452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99-4846-9AEA-D24E05734A2B}"/>
            </c:ext>
          </c:extLst>
        </c:ser>
        <c:ser>
          <c:idx val="1"/>
          <c:order val="1"/>
          <c:tx>
            <c:strRef>
              <c:f>Sayfa1!$R$7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tr-T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Sayfa1!$P$8:$P$19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Sayfa1!$R$8:$R$19</c:f>
              <c:numCache>
                <c:formatCode>0.0</c:formatCode>
                <c:ptCount val="12"/>
                <c:pt idx="0">
                  <c:v>13.183676003</c:v>
                </c:pt>
                <c:pt idx="1">
                  <c:v>13.573213593</c:v>
                </c:pt>
                <c:pt idx="2">
                  <c:v>15.468443839000006</c:v>
                </c:pt>
                <c:pt idx="3">
                  <c:v>14.479941536000004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99-4846-9AEA-D24E05734A2B}"/>
            </c:ext>
          </c:extLst>
        </c:ser>
        <c:dLbls>
          <c:showVal val="1"/>
        </c:dLbls>
        <c:overlap val="-25"/>
        <c:axId val="97434624"/>
        <c:axId val="97531008"/>
      </c:barChart>
      <c:catAx>
        <c:axId val="97434624"/>
        <c:scaling>
          <c:orientation val="minMax"/>
        </c:scaling>
        <c:axPos val="b"/>
        <c:numFmt formatCode="General" sourceLinked="0"/>
        <c:majorTickMark val="none"/>
        <c:tickLblPos val="nextTo"/>
        <c:crossAx val="97531008"/>
        <c:crosses val="autoZero"/>
        <c:auto val="1"/>
        <c:lblAlgn val="ctr"/>
        <c:lblOffset val="100"/>
      </c:catAx>
      <c:valAx>
        <c:axId val="97531008"/>
        <c:scaling>
          <c:orientation val="minMax"/>
        </c:scaling>
        <c:delete val="1"/>
        <c:axPos val="l"/>
        <c:numFmt formatCode="0.0" sourceLinked="1"/>
        <c:tickLblPos val="nextTo"/>
        <c:crossAx val="97434624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Sayfa1!$Q$22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rgbClr val="00206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Sayfa1!$Q$23:$Q$34</c:f>
              <c:numCache>
                <c:formatCode>0.0</c:formatCode>
                <c:ptCount val="12"/>
                <c:pt idx="0">
                  <c:v>21.522626785999989</c:v>
                </c:pt>
                <c:pt idx="1">
                  <c:v>18.936782990999991</c:v>
                </c:pt>
                <c:pt idx="2">
                  <c:v>21.434852708000008</c:v>
                </c:pt>
                <c:pt idx="3">
                  <c:v>20.556579473000003</c:v>
                </c:pt>
                <c:pt idx="4">
                  <c:v>22.067044546000002</c:v>
                </c:pt>
                <c:pt idx="5">
                  <c:v>18.448970139</c:v>
                </c:pt>
                <c:pt idx="6">
                  <c:v>20.057372763000007</c:v>
                </c:pt>
                <c:pt idx="7">
                  <c:v>14.803535065000004</c:v>
                </c:pt>
                <c:pt idx="8">
                  <c:v>16.326539030999985</c:v>
                </c:pt>
                <c:pt idx="9">
                  <c:v>16.174074096000016</c:v>
                </c:pt>
                <c:pt idx="10">
                  <c:v>16.164044653000001</c:v>
                </c:pt>
                <c:pt idx="11">
                  <c:v>16.554456790000007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FE-4ABE-90EB-C926F184414A}"/>
            </c:ext>
          </c:extLst>
        </c:ser>
        <c:ser>
          <c:idx val="1"/>
          <c:order val="1"/>
          <c:tx>
            <c:strRef>
              <c:f>Sayfa1!$R$22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00000"/>
            </a:solidFill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Sayfa1!$P$23:$P$34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Sayfa1!$R$23:$R$34</c:f>
              <c:numCache>
                <c:formatCode>0.0</c:formatCode>
                <c:ptCount val="12"/>
                <c:pt idx="0">
                  <c:v>15.671011823999999</c:v>
                </c:pt>
                <c:pt idx="1">
                  <c:v>15.727449788000001</c:v>
                </c:pt>
                <c:pt idx="2">
                  <c:v>17.621604156000007</c:v>
                </c:pt>
                <c:pt idx="3">
                  <c:v>17.461948710000001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FFE-4ABE-90EB-C926F184414A}"/>
            </c:ext>
          </c:extLst>
        </c:ser>
        <c:dLbls>
          <c:showVal val="1"/>
        </c:dLbls>
        <c:overlap val="-25"/>
        <c:axId val="106084608"/>
        <c:axId val="82878464"/>
      </c:barChart>
      <c:catAx>
        <c:axId val="106084608"/>
        <c:scaling>
          <c:orientation val="minMax"/>
        </c:scaling>
        <c:axPos val="b"/>
        <c:numFmt formatCode="General" sourceLinked="0"/>
        <c:majorTickMark val="none"/>
        <c:tickLblPos val="nextTo"/>
        <c:crossAx val="82878464"/>
        <c:crosses val="autoZero"/>
        <c:auto val="1"/>
        <c:lblAlgn val="ctr"/>
        <c:lblOffset val="100"/>
      </c:catAx>
      <c:valAx>
        <c:axId val="82878464"/>
        <c:scaling>
          <c:orientation val="minMax"/>
        </c:scaling>
        <c:delete val="1"/>
        <c:axPos val="l"/>
        <c:numFmt formatCode="0.0" sourceLinked="1"/>
        <c:tickLblPos val="nextTo"/>
        <c:crossAx val="106084608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3E37-E0DF-4CBB-96F9-DA45D1BD5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earic_000</cp:lastModifiedBy>
  <cp:revision>2</cp:revision>
  <dcterms:created xsi:type="dcterms:W3CDTF">2019-06-03T14:21:00Z</dcterms:created>
  <dcterms:modified xsi:type="dcterms:W3CDTF">2019-06-03T14:21:00Z</dcterms:modified>
</cp:coreProperties>
</file>